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1B88E" w14:textId="77777777" w:rsidR="005461BD" w:rsidRPr="008037DE" w:rsidRDefault="006264FE" w:rsidP="008037DE">
      <w:pPr>
        <w:jc w:val="center"/>
        <w:rPr>
          <w:b/>
        </w:rPr>
      </w:pPr>
      <w:bookmarkStart w:id="0" w:name="_GoBack"/>
      <w:bookmarkEnd w:id="0"/>
      <w:proofErr w:type="spellStart"/>
      <w:r w:rsidRPr="008037DE">
        <w:rPr>
          <w:b/>
        </w:rPr>
        <w:t>Barrytown</w:t>
      </w:r>
      <w:proofErr w:type="spellEnd"/>
      <w:r w:rsidRPr="008037DE">
        <w:rPr>
          <w:b/>
        </w:rPr>
        <w:t xml:space="preserve"> Hall – Weighted Attributes Assessment</w:t>
      </w:r>
    </w:p>
    <w:p w14:paraId="481205F0" w14:textId="77777777" w:rsidR="006264FE" w:rsidRDefault="006264FE">
      <w:r>
        <w:t xml:space="preserve">The Department has requested an assessment regarding the suitability of the </w:t>
      </w:r>
      <w:proofErr w:type="spellStart"/>
      <w:r>
        <w:t>Barrytown</w:t>
      </w:r>
      <w:proofErr w:type="spellEnd"/>
      <w:r>
        <w:t xml:space="preserve"> Hall as an alternative option for a Punakaiki Community Facility.  To ensure consistency with our assessment of other sites we have adopted the same weighted attributes assessment process that was used previously.  </w:t>
      </w:r>
    </w:p>
    <w:p w14:paraId="767AA6AB" w14:textId="77777777" w:rsidR="00165D72" w:rsidRDefault="00165D72">
      <w:r>
        <w:t xml:space="preserve">The hall is now 90 years old, and is overseen by </w:t>
      </w:r>
      <w:r w:rsidR="008037DE">
        <w:t>a committee of local residents</w:t>
      </w:r>
      <w:r>
        <w:t xml:space="preserve">.  </w:t>
      </w:r>
      <w:r w:rsidR="008037DE">
        <w:t xml:space="preserve">It is located on Grey District Council land, and the committee pays an annual fee to council for the use of the land.  </w:t>
      </w:r>
      <w:r>
        <w:t xml:space="preserve">In terms of facilities it has </w:t>
      </w:r>
      <w:r w:rsidR="008037DE">
        <w:t>a main hall area, standard (non-commercial) kitchen and toilet facilities (separate male and female – not accessible).</w:t>
      </w:r>
      <w:r>
        <w:t xml:space="preserve">  There is no dedicated parking associated with the hall</w:t>
      </w:r>
      <w:r w:rsidR="008037DE">
        <w:t xml:space="preserve"> and no capacity to develop this on the site</w:t>
      </w:r>
      <w:r>
        <w:t xml:space="preserve">, however the privately owned </w:t>
      </w:r>
      <w:proofErr w:type="spellStart"/>
      <w:r>
        <w:t>Barrytown</w:t>
      </w:r>
      <w:proofErr w:type="spellEnd"/>
      <w:r>
        <w:t xml:space="preserve"> Hotel carpark is immediately opposite the facility.</w:t>
      </w:r>
      <w:r w:rsidR="00247482">
        <w:t xml:space="preserve">  The hall is set up to work as a music and dance venue, and this has been it predominate use over time.</w:t>
      </w:r>
    </w:p>
    <w:p w14:paraId="5A58F032" w14:textId="77777777" w:rsidR="00165D72" w:rsidRDefault="00165D72">
      <w:r>
        <w:t xml:space="preserve">The hall is situated 1.3km from the Tasman Sea, and sits at an elevation of approximately 40m above sea level.  This is about the same elevation as the Dolomite Point site, however there is no cliff protection at the </w:t>
      </w:r>
      <w:proofErr w:type="spellStart"/>
      <w:r>
        <w:t>Barrytown</w:t>
      </w:r>
      <w:proofErr w:type="spellEnd"/>
      <w:r>
        <w:t xml:space="preserve"> site, where a gradual grass slope leads down to the sea.</w:t>
      </w:r>
    </w:p>
    <w:p w14:paraId="21039498" w14:textId="77777777" w:rsidR="00B44C2C" w:rsidRDefault="00B44C2C">
      <w:proofErr w:type="spellStart"/>
      <w:r>
        <w:t>Barrytown</w:t>
      </w:r>
      <w:proofErr w:type="spellEnd"/>
      <w:r>
        <w:t xml:space="preserve"> is 15km from Dolomite Point which means it lies well outside of what is deemed to be </w:t>
      </w:r>
      <w:proofErr w:type="spellStart"/>
      <w:r>
        <w:t>Punakaiki</w:t>
      </w:r>
      <w:proofErr w:type="spellEnd"/>
      <w:r>
        <w:t xml:space="preserve"> (</w:t>
      </w:r>
      <w:proofErr w:type="spellStart"/>
      <w:r>
        <w:t>Hartmount</w:t>
      </w:r>
      <w:proofErr w:type="spellEnd"/>
      <w:r>
        <w:t xml:space="preserve"> Place to Razorback Ridge).  In times of emergency this separation would require everyone in Punakaiki to make their way to </w:t>
      </w:r>
      <w:proofErr w:type="spellStart"/>
      <w:r>
        <w:t>Barrytown</w:t>
      </w:r>
      <w:proofErr w:type="spellEnd"/>
      <w:r>
        <w:t>, with the potential for significant challenges getting over the Punakaiki River should that bridge not be functional.</w:t>
      </w:r>
    </w:p>
    <w:tbl>
      <w:tblPr>
        <w:tblStyle w:val="TableGrid"/>
        <w:tblW w:w="0" w:type="auto"/>
        <w:tblInd w:w="137" w:type="dxa"/>
        <w:tblLook w:val="04A0" w:firstRow="1" w:lastRow="0" w:firstColumn="1" w:lastColumn="0" w:noHBand="0" w:noVBand="1"/>
      </w:tblPr>
      <w:tblGrid>
        <w:gridCol w:w="2679"/>
        <w:gridCol w:w="3842"/>
        <w:gridCol w:w="720"/>
        <w:gridCol w:w="1219"/>
      </w:tblGrid>
      <w:tr w:rsidR="00B44C2C" w:rsidRPr="00F742ED" w14:paraId="063FE52F" w14:textId="77777777" w:rsidTr="0059771B">
        <w:tc>
          <w:tcPr>
            <w:tcW w:w="2679" w:type="dxa"/>
            <w:shd w:val="clear" w:color="auto" w:fill="D9D9D9" w:themeFill="background1" w:themeFillShade="D9"/>
          </w:tcPr>
          <w:p w14:paraId="21684A50" w14:textId="77777777" w:rsidR="00F742ED" w:rsidRPr="00F742ED" w:rsidRDefault="00F742ED" w:rsidP="00F742ED">
            <w:pPr>
              <w:jc w:val="center"/>
              <w:rPr>
                <w:b/>
              </w:rPr>
            </w:pPr>
          </w:p>
          <w:p w14:paraId="38F7904B" w14:textId="77777777" w:rsidR="00B44C2C" w:rsidRPr="00F742ED" w:rsidRDefault="00B44C2C" w:rsidP="00F742ED">
            <w:pPr>
              <w:jc w:val="center"/>
              <w:rPr>
                <w:b/>
              </w:rPr>
            </w:pPr>
            <w:r w:rsidRPr="00F742ED">
              <w:rPr>
                <w:b/>
              </w:rPr>
              <w:t>Assessment Criteria</w:t>
            </w:r>
          </w:p>
        </w:tc>
        <w:tc>
          <w:tcPr>
            <w:tcW w:w="3842" w:type="dxa"/>
            <w:shd w:val="clear" w:color="auto" w:fill="D9D9D9" w:themeFill="background1" w:themeFillShade="D9"/>
          </w:tcPr>
          <w:p w14:paraId="0C674DB0" w14:textId="77777777" w:rsidR="00F742ED" w:rsidRPr="00F742ED" w:rsidRDefault="00F742ED" w:rsidP="00F742ED">
            <w:pPr>
              <w:jc w:val="center"/>
              <w:rPr>
                <w:b/>
              </w:rPr>
            </w:pPr>
          </w:p>
          <w:p w14:paraId="721C1481" w14:textId="77777777" w:rsidR="00B44C2C" w:rsidRPr="00F742ED" w:rsidRDefault="00B44C2C" w:rsidP="00F742ED">
            <w:pPr>
              <w:jc w:val="center"/>
              <w:rPr>
                <w:b/>
              </w:rPr>
            </w:pPr>
            <w:r w:rsidRPr="00F742ED">
              <w:rPr>
                <w:b/>
              </w:rPr>
              <w:t>Commentary</w:t>
            </w:r>
          </w:p>
        </w:tc>
        <w:tc>
          <w:tcPr>
            <w:tcW w:w="720" w:type="dxa"/>
            <w:shd w:val="clear" w:color="auto" w:fill="D9D9D9" w:themeFill="background1" w:themeFillShade="D9"/>
          </w:tcPr>
          <w:p w14:paraId="3A4B8237" w14:textId="77777777" w:rsidR="00F742ED" w:rsidRPr="00F742ED" w:rsidRDefault="00F742ED" w:rsidP="00F742ED">
            <w:pPr>
              <w:jc w:val="center"/>
              <w:rPr>
                <w:b/>
              </w:rPr>
            </w:pPr>
          </w:p>
          <w:p w14:paraId="7DCF3A70" w14:textId="77777777" w:rsidR="00B44C2C" w:rsidRPr="00F742ED" w:rsidRDefault="00B44C2C" w:rsidP="00F742ED">
            <w:pPr>
              <w:jc w:val="center"/>
              <w:rPr>
                <w:b/>
              </w:rPr>
            </w:pPr>
            <w:r w:rsidRPr="00F742ED">
              <w:rPr>
                <w:b/>
              </w:rPr>
              <w:t>Score</w:t>
            </w:r>
          </w:p>
        </w:tc>
        <w:tc>
          <w:tcPr>
            <w:tcW w:w="1219" w:type="dxa"/>
            <w:shd w:val="clear" w:color="auto" w:fill="D9D9D9" w:themeFill="background1" w:themeFillShade="D9"/>
          </w:tcPr>
          <w:p w14:paraId="1201DF50" w14:textId="77777777" w:rsidR="00F742ED" w:rsidRPr="00F742ED" w:rsidRDefault="00B44C2C" w:rsidP="00F742ED">
            <w:pPr>
              <w:jc w:val="center"/>
              <w:rPr>
                <w:b/>
              </w:rPr>
            </w:pPr>
            <w:r w:rsidRPr="00F742ED">
              <w:rPr>
                <w:b/>
              </w:rPr>
              <w:t>Weighted</w:t>
            </w:r>
          </w:p>
          <w:p w14:paraId="6CE0C704" w14:textId="77777777" w:rsidR="00B44C2C" w:rsidRPr="00F742ED" w:rsidRDefault="00B44C2C" w:rsidP="00F742ED">
            <w:pPr>
              <w:jc w:val="center"/>
              <w:rPr>
                <w:b/>
              </w:rPr>
            </w:pPr>
            <w:r w:rsidRPr="00F742ED">
              <w:rPr>
                <w:b/>
              </w:rPr>
              <w:t>Score</w:t>
            </w:r>
          </w:p>
        </w:tc>
      </w:tr>
      <w:tr w:rsidR="00B44C2C" w:rsidRPr="00B44C2C" w14:paraId="4B7EA38C" w14:textId="77777777" w:rsidTr="00F742ED">
        <w:tc>
          <w:tcPr>
            <w:tcW w:w="2679" w:type="dxa"/>
          </w:tcPr>
          <w:p w14:paraId="5C47F1F2" w14:textId="77777777" w:rsidR="00B44C2C" w:rsidRPr="00B44C2C" w:rsidRDefault="00B44C2C" w:rsidP="00F742ED">
            <w:pPr>
              <w:jc w:val="center"/>
            </w:pPr>
            <w:r w:rsidRPr="00B44C2C">
              <w:t>Functionality (30%)</w:t>
            </w:r>
          </w:p>
        </w:tc>
        <w:tc>
          <w:tcPr>
            <w:tcW w:w="3842" w:type="dxa"/>
          </w:tcPr>
          <w:p w14:paraId="4F19C1C1" w14:textId="77777777" w:rsidR="00B44C2C" w:rsidRDefault="00EB2012" w:rsidP="0098730C">
            <w:r>
              <w:t xml:space="preserve">The age of the hall means that many of the functions that would be available at a new facility would not be achievable without considerable expense to bring it up to standard.  </w:t>
            </w:r>
          </w:p>
        </w:tc>
        <w:tc>
          <w:tcPr>
            <w:tcW w:w="720" w:type="dxa"/>
          </w:tcPr>
          <w:p w14:paraId="2A2AF815" w14:textId="77777777" w:rsidR="00B44C2C" w:rsidRPr="00B44C2C" w:rsidRDefault="00EB2012" w:rsidP="00F742ED">
            <w:pPr>
              <w:jc w:val="center"/>
            </w:pPr>
            <w:r>
              <w:t>3</w:t>
            </w:r>
          </w:p>
        </w:tc>
        <w:tc>
          <w:tcPr>
            <w:tcW w:w="1219" w:type="dxa"/>
          </w:tcPr>
          <w:p w14:paraId="4D7C17D8" w14:textId="77777777" w:rsidR="00B44C2C" w:rsidRDefault="00E2647D" w:rsidP="00F742ED">
            <w:pPr>
              <w:ind w:left="360"/>
            </w:pPr>
            <w:r>
              <w:t>0.9</w:t>
            </w:r>
          </w:p>
          <w:p w14:paraId="2CAB879F" w14:textId="77777777" w:rsidR="00B44C2C" w:rsidRDefault="00B44C2C" w:rsidP="00F742ED"/>
        </w:tc>
      </w:tr>
      <w:tr w:rsidR="00B44C2C" w:rsidRPr="00B44C2C" w14:paraId="6BAA82DD" w14:textId="77777777" w:rsidTr="00F742ED">
        <w:tc>
          <w:tcPr>
            <w:tcW w:w="2679" w:type="dxa"/>
          </w:tcPr>
          <w:p w14:paraId="545501F5" w14:textId="77777777" w:rsidR="00B44C2C" w:rsidRPr="00B44C2C" w:rsidRDefault="00B44C2C" w:rsidP="00F742ED">
            <w:pPr>
              <w:jc w:val="center"/>
            </w:pPr>
            <w:r w:rsidRPr="00B44C2C">
              <w:t>Natural Hazards (30%)</w:t>
            </w:r>
          </w:p>
        </w:tc>
        <w:tc>
          <w:tcPr>
            <w:tcW w:w="3842" w:type="dxa"/>
          </w:tcPr>
          <w:p w14:paraId="5C38F483" w14:textId="77777777" w:rsidR="00B44C2C" w:rsidRDefault="00F742ED" w:rsidP="00F742ED">
            <w:r w:rsidRPr="00B44C2C">
              <w:t>The site is elevated, however would be at risk in a tsunami due to the open and gradual slope that leads to the sea.</w:t>
            </w:r>
          </w:p>
        </w:tc>
        <w:tc>
          <w:tcPr>
            <w:tcW w:w="720" w:type="dxa"/>
          </w:tcPr>
          <w:p w14:paraId="10091DA2" w14:textId="77777777" w:rsidR="00B44C2C" w:rsidRPr="00B44C2C" w:rsidRDefault="00E2647D" w:rsidP="00F742ED">
            <w:pPr>
              <w:jc w:val="center"/>
            </w:pPr>
            <w:r>
              <w:t>4</w:t>
            </w:r>
          </w:p>
        </w:tc>
        <w:tc>
          <w:tcPr>
            <w:tcW w:w="1219" w:type="dxa"/>
          </w:tcPr>
          <w:p w14:paraId="48C293BD" w14:textId="77777777" w:rsidR="00B44C2C" w:rsidRPr="00B44C2C" w:rsidRDefault="00E2647D" w:rsidP="00F742ED">
            <w:pPr>
              <w:ind w:left="360"/>
            </w:pPr>
            <w:r>
              <w:t>1.2</w:t>
            </w:r>
          </w:p>
        </w:tc>
      </w:tr>
      <w:tr w:rsidR="00B44C2C" w:rsidRPr="00B44C2C" w14:paraId="46EA7D46" w14:textId="77777777" w:rsidTr="00F742ED">
        <w:tc>
          <w:tcPr>
            <w:tcW w:w="2679" w:type="dxa"/>
          </w:tcPr>
          <w:p w14:paraId="076B43E3" w14:textId="77777777" w:rsidR="00B44C2C" w:rsidRPr="00B44C2C" w:rsidRDefault="00B44C2C" w:rsidP="00F742ED">
            <w:pPr>
              <w:jc w:val="center"/>
            </w:pPr>
            <w:r w:rsidRPr="00B44C2C">
              <w:t>Land Tenure (20%)</w:t>
            </w:r>
          </w:p>
        </w:tc>
        <w:tc>
          <w:tcPr>
            <w:tcW w:w="3842" w:type="dxa"/>
          </w:tcPr>
          <w:p w14:paraId="391808A6" w14:textId="77777777" w:rsidR="00B44C2C" w:rsidRPr="00B44C2C" w:rsidRDefault="00F742ED" w:rsidP="0059771B">
            <w:r>
              <w:t xml:space="preserve">The facility </w:t>
            </w:r>
            <w:r w:rsidR="0059771B">
              <w:t>is owned by Grey District Council</w:t>
            </w:r>
            <w:r>
              <w:t xml:space="preserve"> and managed by </w:t>
            </w:r>
            <w:r w:rsidR="0059771B">
              <w:t>a committee of locals</w:t>
            </w:r>
            <w:r>
              <w:t>.  The site is already provided for community use.</w:t>
            </w:r>
          </w:p>
        </w:tc>
        <w:tc>
          <w:tcPr>
            <w:tcW w:w="720" w:type="dxa"/>
          </w:tcPr>
          <w:p w14:paraId="6A109015" w14:textId="77777777" w:rsidR="00B44C2C" w:rsidRPr="00B44C2C" w:rsidRDefault="00F742ED" w:rsidP="00F742ED">
            <w:pPr>
              <w:jc w:val="center"/>
            </w:pPr>
            <w:r>
              <w:t>5</w:t>
            </w:r>
          </w:p>
        </w:tc>
        <w:tc>
          <w:tcPr>
            <w:tcW w:w="1219" w:type="dxa"/>
          </w:tcPr>
          <w:p w14:paraId="18747649" w14:textId="77777777" w:rsidR="00B44C2C" w:rsidRPr="00B44C2C" w:rsidRDefault="00F742ED" w:rsidP="00F742ED">
            <w:pPr>
              <w:ind w:left="360"/>
            </w:pPr>
            <w:r>
              <w:t>1.0</w:t>
            </w:r>
          </w:p>
        </w:tc>
      </w:tr>
      <w:tr w:rsidR="00B44C2C" w:rsidRPr="00B44C2C" w14:paraId="0517FAD9" w14:textId="77777777" w:rsidTr="00F742ED">
        <w:tc>
          <w:tcPr>
            <w:tcW w:w="2679" w:type="dxa"/>
          </w:tcPr>
          <w:p w14:paraId="2CD4CD75" w14:textId="77777777" w:rsidR="00B44C2C" w:rsidRPr="00B44C2C" w:rsidRDefault="00B44C2C" w:rsidP="00F742ED">
            <w:pPr>
              <w:jc w:val="center"/>
            </w:pPr>
            <w:r w:rsidRPr="00B44C2C">
              <w:t xml:space="preserve">Compatibility </w:t>
            </w:r>
            <w:r w:rsidR="00E2647D">
              <w:t xml:space="preserve">with existing uses </w:t>
            </w:r>
            <w:r w:rsidRPr="00B44C2C">
              <w:t>(10%)</w:t>
            </w:r>
          </w:p>
        </w:tc>
        <w:tc>
          <w:tcPr>
            <w:tcW w:w="3842" w:type="dxa"/>
          </w:tcPr>
          <w:p w14:paraId="7ADAD1F9" w14:textId="77777777" w:rsidR="00B44C2C" w:rsidRPr="00B44C2C" w:rsidRDefault="00E2647D" w:rsidP="00F742ED">
            <w:proofErr w:type="gramStart"/>
            <w:r>
              <w:t>The majority of</w:t>
            </w:r>
            <w:proofErr w:type="gramEnd"/>
            <w:r>
              <w:t xml:space="preserve"> uses being sought for a facility would be compatible with existing use of the hall.</w:t>
            </w:r>
          </w:p>
        </w:tc>
        <w:tc>
          <w:tcPr>
            <w:tcW w:w="720" w:type="dxa"/>
          </w:tcPr>
          <w:p w14:paraId="37B640CF" w14:textId="77777777" w:rsidR="00B44C2C" w:rsidRPr="00B44C2C" w:rsidRDefault="00247482" w:rsidP="00F742ED">
            <w:pPr>
              <w:jc w:val="center"/>
            </w:pPr>
            <w:r>
              <w:t>4</w:t>
            </w:r>
          </w:p>
        </w:tc>
        <w:tc>
          <w:tcPr>
            <w:tcW w:w="1219" w:type="dxa"/>
          </w:tcPr>
          <w:p w14:paraId="65E108B5" w14:textId="77777777" w:rsidR="00B44C2C" w:rsidRPr="00B44C2C" w:rsidRDefault="00F742ED" w:rsidP="00F742ED">
            <w:pPr>
              <w:ind w:left="360"/>
            </w:pPr>
            <w:r>
              <w:t>0.</w:t>
            </w:r>
            <w:r w:rsidR="00247482">
              <w:t>4</w:t>
            </w:r>
          </w:p>
        </w:tc>
      </w:tr>
      <w:tr w:rsidR="00B44C2C" w:rsidRPr="00B44C2C" w14:paraId="5A118231" w14:textId="77777777" w:rsidTr="00F742ED">
        <w:tc>
          <w:tcPr>
            <w:tcW w:w="2679" w:type="dxa"/>
          </w:tcPr>
          <w:p w14:paraId="03FF0A50" w14:textId="77777777" w:rsidR="00B44C2C" w:rsidRPr="00B44C2C" w:rsidRDefault="00B44C2C" w:rsidP="00F742ED">
            <w:pPr>
              <w:jc w:val="center"/>
            </w:pPr>
            <w:r w:rsidRPr="00B44C2C">
              <w:t>Parking (10%)</w:t>
            </w:r>
          </w:p>
        </w:tc>
        <w:tc>
          <w:tcPr>
            <w:tcW w:w="3842" w:type="dxa"/>
          </w:tcPr>
          <w:p w14:paraId="6A3B4A5E" w14:textId="77777777" w:rsidR="00B44C2C" w:rsidRPr="00B44C2C" w:rsidRDefault="00247482" w:rsidP="00F742ED">
            <w:r>
              <w:t xml:space="preserve">There is no parking associated with this facility, so it relies on </w:t>
            </w:r>
            <w:proofErr w:type="spellStart"/>
            <w:r>
              <w:t>streetside</w:t>
            </w:r>
            <w:proofErr w:type="spellEnd"/>
            <w:r>
              <w:t xml:space="preserve"> parking or the hotel carpark across the road.</w:t>
            </w:r>
          </w:p>
        </w:tc>
        <w:tc>
          <w:tcPr>
            <w:tcW w:w="720" w:type="dxa"/>
          </w:tcPr>
          <w:p w14:paraId="7FA0F7E6" w14:textId="77777777" w:rsidR="00B44C2C" w:rsidRPr="00B44C2C" w:rsidRDefault="00F742ED" w:rsidP="00F742ED">
            <w:pPr>
              <w:jc w:val="center"/>
            </w:pPr>
            <w:r>
              <w:t>1</w:t>
            </w:r>
          </w:p>
        </w:tc>
        <w:tc>
          <w:tcPr>
            <w:tcW w:w="1219" w:type="dxa"/>
          </w:tcPr>
          <w:p w14:paraId="5D532724" w14:textId="77777777" w:rsidR="00B44C2C" w:rsidRPr="00B44C2C" w:rsidRDefault="00F742ED" w:rsidP="00F742ED">
            <w:pPr>
              <w:ind w:left="360"/>
            </w:pPr>
            <w:r>
              <w:t>0.1</w:t>
            </w:r>
          </w:p>
        </w:tc>
      </w:tr>
      <w:tr w:rsidR="00F742ED" w:rsidRPr="00B44C2C" w14:paraId="308A66F6" w14:textId="77777777" w:rsidTr="0059771B">
        <w:tc>
          <w:tcPr>
            <w:tcW w:w="7241" w:type="dxa"/>
            <w:gridSpan w:val="3"/>
            <w:shd w:val="clear" w:color="auto" w:fill="D9D9D9" w:themeFill="background1" w:themeFillShade="D9"/>
          </w:tcPr>
          <w:p w14:paraId="6CBC8424" w14:textId="77777777" w:rsidR="00F742ED" w:rsidRPr="00F742ED" w:rsidRDefault="00F742ED" w:rsidP="00F742ED">
            <w:pPr>
              <w:jc w:val="right"/>
              <w:rPr>
                <w:b/>
              </w:rPr>
            </w:pPr>
            <w:r w:rsidRPr="00F742ED">
              <w:rPr>
                <w:b/>
              </w:rPr>
              <w:t>Total Score</w:t>
            </w:r>
          </w:p>
        </w:tc>
        <w:tc>
          <w:tcPr>
            <w:tcW w:w="1219" w:type="dxa"/>
            <w:shd w:val="clear" w:color="auto" w:fill="D9D9D9" w:themeFill="background1" w:themeFillShade="D9"/>
          </w:tcPr>
          <w:p w14:paraId="172639F7" w14:textId="77777777" w:rsidR="00F742ED" w:rsidRPr="00EB2012" w:rsidRDefault="00247482" w:rsidP="00F742ED">
            <w:pPr>
              <w:ind w:left="360"/>
              <w:rPr>
                <w:b/>
              </w:rPr>
            </w:pPr>
            <w:r>
              <w:rPr>
                <w:b/>
              </w:rPr>
              <w:t>3.6</w:t>
            </w:r>
          </w:p>
        </w:tc>
      </w:tr>
    </w:tbl>
    <w:p w14:paraId="489CC7FA" w14:textId="77777777" w:rsidR="006264FE" w:rsidRDefault="006264FE" w:rsidP="00B44C2C"/>
    <w:p w14:paraId="41B0AF24" w14:textId="77777777" w:rsidR="00EB2012" w:rsidRDefault="00EB2012" w:rsidP="00B44C2C">
      <w:r>
        <w:t xml:space="preserve">On the basis of this assessment, the Dolomite Point </w:t>
      </w:r>
      <w:r w:rsidR="00247482">
        <w:t xml:space="preserve">site </w:t>
      </w:r>
      <w:r>
        <w:t>still has the highest score (3.8) of all the sites that have been considered.  The issues around lack of parking</w:t>
      </w:r>
      <w:r w:rsidR="00E2647D">
        <w:t xml:space="preserve"> and</w:t>
      </w:r>
      <w:r>
        <w:t xml:space="preserve"> distance from the main population </w:t>
      </w:r>
      <w:r w:rsidR="00247482">
        <w:t xml:space="preserve">/ tourist </w:t>
      </w:r>
      <w:r>
        <w:t xml:space="preserve">concentration in Punakaiki </w:t>
      </w:r>
      <w:r w:rsidR="00E2647D">
        <w:t>are the main reasons for not selecting this option.</w:t>
      </w:r>
    </w:p>
    <w:sectPr w:rsidR="00EB20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23321"/>
    <w:multiLevelType w:val="hybridMultilevel"/>
    <w:tmpl w:val="925E96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7D7133EA"/>
    <w:multiLevelType w:val="hybridMultilevel"/>
    <w:tmpl w:val="B48016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4FE"/>
    <w:rsid w:val="00034164"/>
    <w:rsid w:val="00165D72"/>
    <w:rsid w:val="00247482"/>
    <w:rsid w:val="005461BD"/>
    <w:rsid w:val="005712AB"/>
    <w:rsid w:val="0059771B"/>
    <w:rsid w:val="006264FE"/>
    <w:rsid w:val="008037DE"/>
    <w:rsid w:val="0098730C"/>
    <w:rsid w:val="00B44C2C"/>
    <w:rsid w:val="00E2647D"/>
    <w:rsid w:val="00EB2012"/>
    <w:rsid w:val="00F742E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1523"/>
  <w15:chartTrackingRefBased/>
  <w15:docId w15:val="{E668B35E-D6A7-42A3-BE98-44C3B38F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C2C"/>
    <w:pPr>
      <w:ind w:left="720"/>
      <w:contextualSpacing/>
    </w:pPr>
  </w:style>
  <w:style w:type="table" w:styleId="TableGrid">
    <w:name w:val="Table Grid"/>
    <w:basedOn w:val="TableNormal"/>
    <w:uiPriority w:val="39"/>
    <w:rsid w:val="00B44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Westland District Council</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Irving</dc:creator>
  <cp:keywords/>
  <dc:description/>
  <cp:lastModifiedBy>Diana Clendon</cp:lastModifiedBy>
  <cp:revision>2</cp:revision>
  <dcterms:created xsi:type="dcterms:W3CDTF">2019-11-06T22:02:00Z</dcterms:created>
  <dcterms:modified xsi:type="dcterms:W3CDTF">2019-11-06T22:02:00Z</dcterms:modified>
</cp:coreProperties>
</file>